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C" w:rsidRDefault="0056331C" w:rsidP="0056331C">
      <w:pPr>
        <w:widowControl w:val="0"/>
        <w:spacing w:line="280" w:lineRule="exact"/>
        <w:ind w:left="5387" w:firstLine="0"/>
        <w:rPr>
          <w:szCs w:val="30"/>
        </w:rPr>
      </w:pPr>
      <w:r>
        <w:rPr>
          <w:szCs w:val="30"/>
        </w:rPr>
        <w:t>Приложение 1</w:t>
      </w:r>
    </w:p>
    <w:p w:rsidR="0056331C" w:rsidRDefault="0056331C" w:rsidP="0056331C">
      <w:pPr>
        <w:widowControl w:val="0"/>
        <w:autoSpaceDE w:val="0"/>
        <w:autoSpaceDN w:val="0"/>
        <w:adjustRightInd w:val="0"/>
        <w:spacing w:line="280" w:lineRule="exact"/>
        <w:ind w:left="5387" w:firstLine="0"/>
        <w:rPr>
          <w:szCs w:val="30"/>
        </w:rPr>
      </w:pPr>
      <w:r>
        <w:rPr>
          <w:szCs w:val="30"/>
        </w:rPr>
        <w:t xml:space="preserve">к техническому регламенту Республики Беларусь </w:t>
      </w:r>
    </w:p>
    <w:p w:rsidR="0056331C" w:rsidRDefault="0056331C" w:rsidP="0056331C">
      <w:pPr>
        <w:widowControl w:val="0"/>
        <w:autoSpaceDE w:val="0"/>
        <w:autoSpaceDN w:val="0"/>
        <w:adjustRightInd w:val="0"/>
        <w:spacing w:line="280" w:lineRule="exact"/>
        <w:ind w:left="5387" w:firstLine="0"/>
        <w:rPr>
          <w:szCs w:val="30"/>
        </w:rPr>
      </w:pPr>
      <w:r>
        <w:rPr>
          <w:szCs w:val="30"/>
        </w:rPr>
        <w:t>”Средства электросвязи. Безопасность“ (ТР 2018/024/ВY)</w:t>
      </w: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left="5387" w:firstLine="0"/>
        <w:rPr>
          <w:szCs w:val="30"/>
          <w:lang w:eastAsia="en-US"/>
        </w:rPr>
      </w:pPr>
      <w:r>
        <w:rPr>
          <w:szCs w:val="30"/>
          <w:lang w:eastAsia="en-US"/>
        </w:rPr>
        <w:t>(в редакции постановления</w:t>
      </w: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left="5387" w:firstLine="0"/>
        <w:rPr>
          <w:szCs w:val="30"/>
          <w:lang w:eastAsia="en-US"/>
        </w:rPr>
      </w:pPr>
      <w:r>
        <w:rPr>
          <w:szCs w:val="30"/>
          <w:lang w:eastAsia="en-US"/>
        </w:rPr>
        <w:t>Совета Министров</w:t>
      </w: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left="5387" w:firstLine="0"/>
        <w:rPr>
          <w:szCs w:val="30"/>
          <w:lang w:eastAsia="en-US"/>
        </w:rPr>
      </w:pPr>
      <w:r>
        <w:rPr>
          <w:szCs w:val="30"/>
          <w:lang w:eastAsia="en-US"/>
        </w:rPr>
        <w:t>Республики Беларусь</w:t>
      </w:r>
    </w:p>
    <w:p w:rsidR="0056331C" w:rsidRDefault="0056331C" w:rsidP="0056331C">
      <w:pPr>
        <w:widowControl w:val="0"/>
        <w:spacing w:line="280" w:lineRule="exact"/>
        <w:ind w:left="40" w:firstLine="5347"/>
        <w:jc w:val="both"/>
        <w:rPr>
          <w:bCs/>
          <w:szCs w:val="30"/>
        </w:rPr>
      </w:pPr>
      <w:r>
        <w:rPr>
          <w:bCs/>
          <w:szCs w:val="30"/>
        </w:rPr>
        <w:t>14.08.2023   № 532)</w:t>
      </w:r>
    </w:p>
    <w:p w:rsidR="0056331C" w:rsidRDefault="0056331C" w:rsidP="0056331C">
      <w:pPr>
        <w:widowControl w:val="0"/>
        <w:spacing w:line="280" w:lineRule="exact"/>
        <w:ind w:left="40" w:firstLine="0"/>
        <w:jc w:val="both"/>
        <w:rPr>
          <w:bCs/>
          <w:szCs w:val="30"/>
        </w:rPr>
      </w:pPr>
    </w:p>
    <w:p w:rsidR="0056331C" w:rsidRDefault="0056331C" w:rsidP="0056331C">
      <w:pPr>
        <w:widowControl w:val="0"/>
        <w:spacing w:line="280" w:lineRule="exact"/>
        <w:ind w:left="40" w:firstLine="0"/>
        <w:jc w:val="both"/>
        <w:rPr>
          <w:bCs/>
          <w:szCs w:val="30"/>
        </w:rPr>
      </w:pPr>
    </w:p>
    <w:p w:rsidR="0056331C" w:rsidRDefault="0056331C" w:rsidP="0056331C">
      <w:pPr>
        <w:widowControl w:val="0"/>
        <w:spacing w:line="280" w:lineRule="exact"/>
        <w:ind w:left="40" w:firstLine="0"/>
        <w:jc w:val="both"/>
        <w:rPr>
          <w:bCs/>
          <w:szCs w:val="30"/>
        </w:rPr>
      </w:pPr>
    </w:p>
    <w:p w:rsidR="0056331C" w:rsidRPr="00B65E44" w:rsidRDefault="0056331C" w:rsidP="0056331C">
      <w:pPr>
        <w:widowControl w:val="0"/>
        <w:spacing w:line="280" w:lineRule="exact"/>
        <w:ind w:left="40" w:firstLine="0"/>
        <w:rPr>
          <w:szCs w:val="30"/>
        </w:rPr>
      </w:pPr>
      <w:r w:rsidRPr="00B65E44">
        <w:rPr>
          <w:szCs w:val="30"/>
        </w:rPr>
        <w:t>ПЕРЕЧЕНЬ</w:t>
      </w:r>
    </w:p>
    <w:p w:rsidR="0056331C" w:rsidRPr="00F44971" w:rsidRDefault="0056331C" w:rsidP="0056331C">
      <w:pPr>
        <w:widowControl w:val="0"/>
        <w:spacing w:before="120" w:line="280" w:lineRule="exact"/>
        <w:ind w:left="40" w:right="3119" w:firstLine="0"/>
        <w:jc w:val="both"/>
        <w:rPr>
          <w:szCs w:val="30"/>
        </w:rPr>
      </w:pPr>
      <w:r w:rsidRPr="00B65E44">
        <w:rPr>
          <w:szCs w:val="30"/>
        </w:rPr>
        <w:t>средств электросвязи, выпускаемых</w:t>
      </w:r>
      <w:r>
        <w:rPr>
          <w:szCs w:val="30"/>
        </w:rPr>
        <w:t xml:space="preserve"> </w:t>
      </w:r>
      <w:r w:rsidRPr="00B65E44">
        <w:rPr>
          <w:szCs w:val="30"/>
        </w:rPr>
        <w:t>в</w:t>
      </w:r>
      <w:r>
        <w:rPr>
          <w:szCs w:val="30"/>
        </w:rPr>
        <w:t xml:space="preserve"> </w:t>
      </w:r>
      <w:r w:rsidRPr="00B65E44">
        <w:rPr>
          <w:szCs w:val="30"/>
        </w:rPr>
        <w:t xml:space="preserve">обращение </w:t>
      </w:r>
      <w:r w:rsidRPr="008244ED">
        <w:rPr>
          <w:spacing w:val="-4"/>
          <w:szCs w:val="30"/>
        </w:rPr>
        <w:t>на территории Республики Беларусь и</w:t>
      </w:r>
      <w:r>
        <w:rPr>
          <w:szCs w:val="30"/>
        </w:rPr>
        <w:t xml:space="preserve"> </w:t>
      </w:r>
      <w:r w:rsidRPr="00B65E44">
        <w:rPr>
          <w:szCs w:val="30"/>
        </w:rPr>
        <w:t xml:space="preserve">подлежащих </w:t>
      </w:r>
      <w:r w:rsidRPr="008244ED">
        <w:rPr>
          <w:spacing w:val="-8"/>
          <w:szCs w:val="30"/>
        </w:rPr>
        <w:t>подтверждению соответствия в форме</w:t>
      </w:r>
      <w:r w:rsidRPr="00B65E44">
        <w:rPr>
          <w:szCs w:val="30"/>
        </w:rPr>
        <w:t xml:space="preserve"> обязательной сертификации</w:t>
      </w:r>
    </w:p>
    <w:p w:rsidR="0056331C" w:rsidRDefault="0056331C" w:rsidP="0056331C">
      <w:pPr>
        <w:spacing w:line="280" w:lineRule="exact"/>
        <w:ind w:firstLine="0"/>
        <w:jc w:val="both"/>
        <w:rPr>
          <w:bCs/>
          <w:szCs w:val="30"/>
        </w:rPr>
      </w:pPr>
    </w:p>
    <w:p w:rsidR="0056331C" w:rsidRPr="00B815AF" w:rsidRDefault="0056331C" w:rsidP="0056331C">
      <w:pPr>
        <w:spacing w:line="280" w:lineRule="exact"/>
        <w:ind w:firstLine="0"/>
        <w:jc w:val="both"/>
        <w:rPr>
          <w:bCs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1. Средства электросвязи, выполняющие функции передачи данных: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коммутации и передачи пакетов данных,</w:t>
      </w:r>
      <w:r>
        <w:rPr>
          <w:rFonts w:eastAsia="Calibri"/>
          <w:color w:val="FF0000"/>
          <w:szCs w:val="30"/>
        </w:rPr>
        <w:t xml:space="preserve"> </w:t>
      </w:r>
      <w:r>
        <w:rPr>
          <w:rFonts w:eastAsia="Calibri"/>
          <w:szCs w:val="30"/>
        </w:rPr>
        <w:t>в том числе для центра обработки данных;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pacing w:val="-4"/>
          <w:szCs w:val="30"/>
        </w:rPr>
        <w:t>оборудование маршрутизации и передачи пакетов данных, в том числе</w:t>
      </w:r>
      <w:r>
        <w:rPr>
          <w:rFonts w:eastAsia="Calibri"/>
          <w:szCs w:val="30"/>
        </w:rPr>
        <w:t xml:space="preserve"> для центра обработки данных;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транспортных устройств, поддерживающих многопротокольную коммутацию по меткам (MPLS);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оборудование групповой передачи по </w:t>
      </w:r>
      <w:bookmarkStart w:id="0" w:name="_Hlk137199288"/>
      <w:r>
        <w:rPr>
          <w:rFonts w:eastAsia="Calibri"/>
          <w:szCs w:val="30"/>
        </w:rPr>
        <w:t xml:space="preserve">интернет-протоколу </w:t>
      </w:r>
      <w:bookmarkEnd w:id="0"/>
      <w:r>
        <w:rPr>
          <w:rFonts w:eastAsia="Calibri"/>
          <w:szCs w:val="30"/>
        </w:rPr>
        <w:t>(IP);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трансляции и сопряжения;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безопасности сети передачи данных;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балансировщики нагрузки;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шлюзы уровня приложений;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предоставления сетевых служб;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агрегации и управления доступом к ресурсам сети передачи данных;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для передачи голосовой, видео- и мультимедийной информации по сетям передачи данных, за исключением оконечного оборудования данных.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2. Средства электросвязи, выполняющие функции (входящие              в состав) цифровых транспортных систем (систем передачи):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цифровых систем передачи синхронной цифровой иерархии;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цифровых систем передачи плезиохронной цифровой иерархии;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цифровых радиосистем передачи;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спектрального уплотнения оптических каналов;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pacing w:val="-4"/>
          <w:szCs w:val="30"/>
        </w:rPr>
        <w:lastRenderedPageBreak/>
        <w:t>многофункциональная каналообразующая аппаратура с возможностью</w:t>
      </w:r>
      <w:r>
        <w:rPr>
          <w:rFonts w:eastAsia="Calibri"/>
          <w:szCs w:val="30"/>
        </w:rPr>
        <w:t xml:space="preserve"> гибкого конфигурирования;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преобразователи среды передачи, медиаконвертеры;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оптической транспортной сети.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3. Средства электросвязи, выполняющие функции систем коммутации и управления услугами: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автоматические телефонные станции (далее – АТС), в том числе учрежденческо-производственные АТС c коммутацией каналов и IP АТС, представляющие собой законченные аппаратно-программные устройства, изготовленные в соответствии с конструкторской и технологической </w:t>
      </w:r>
      <w:r>
        <w:rPr>
          <w:rFonts w:eastAsia="Calibri"/>
          <w:spacing w:val="-4"/>
          <w:szCs w:val="30"/>
        </w:rPr>
        <w:t>документацией изготовителя на соответствие требованиям, предъявляемым</w:t>
      </w:r>
      <w:r>
        <w:rPr>
          <w:rFonts w:eastAsia="Calibri"/>
          <w:szCs w:val="30"/>
        </w:rPr>
        <w:t xml:space="preserve"> к IP АТС;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программные коммутаторы;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медиашлюзы;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шлюзы сигнализаций;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контроллеры медиашлюзов;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пограничные контроллеры сессий;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SIP-прокси-серверы, серверы перенаправления, серверы регистрации;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ядра подсистемы оказания мультимедийных услуг     на базе IP (IMS);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оборудование контроля и управления видео- и аудиоконференциями.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4. Средства электросвязи, выполняющие функции формирования, кодирования, декодирования, мультиплексирования, преобразования, передачи сигналов цифрового телевизионного и радиовещания, имеющие интерфейсы асинхронный последовательный (ASI) и последовательный цифровой (SDI), в том числе: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кодеры;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декодеры;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мультиплексоры;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преобразователи интерфейсов;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модули вставки пакетов инициализации, мегакадров (MIP);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шлюзы Т2-M.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5. Средства радиосвязи:</w:t>
      </w:r>
    </w:p>
    <w:p w:rsidR="0056331C" w:rsidRDefault="0056331C" w:rsidP="0056331C">
      <w:pPr>
        <w:autoSpaceDE w:val="0"/>
        <w:autoSpaceDN w:val="0"/>
        <w:adjustRightInd w:val="0"/>
        <w:rPr>
          <w:rFonts w:eastAsia="Calibri"/>
          <w:szCs w:val="30"/>
        </w:rPr>
      </w:pPr>
      <w:r>
        <w:rPr>
          <w:rFonts w:eastAsia="Calibri"/>
          <w:szCs w:val="30"/>
        </w:rPr>
        <w:t>радиооборудование радиорелейной связи фиксированной службы;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базовые станции и ретрансляторы стандартов: </w:t>
      </w:r>
      <w:bookmarkStart w:id="1" w:name="_Hlk112753313"/>
      <w:r>
        <w:rPr>
          <w:rFonts w:eastAsia="Calibri"/>
          <w:szCs w:val="30"/>
        </w:rPr>
        <w:t xml:space="preserve">Global System           for Mobile Communications – глобальная система подвижной связи второго поколения (GSM), Universal Mobile Telecommunications System – универсальная мобильная телекоммуникационная система третьего поколения (UMTS), Digital Enhanced Cordless Telecommunication – цифровая усовершенствованная беспроводная электросвязь четвертого поколения (DECT), Long-Term Evolution – долговременное развитие (LTE), в том числе Narrow Band Internet of Things – узкополосный ”интернет </w:t>
      </w:r>
      <w:r>
        <w:rPr>
          <w:rFonts w:eastAsia="Calibri"/>
          <w:szCs w:val="30"/>
        </w:rPr>
        <w:lastRenderedPageBreak/>
        <w:t>вещей“ (NB-IoT), New-Radio* – технология радиодоступа пятого поколения (NR), другие;</w:t>
      </w:r>
      <w:bookmarkEnd w:id="1"/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базовые станции и ретрансляторы сухопутной подвижной службы;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передатчики и ретрансляторы радиовещательные и телевизионные.</w:t>
      </w: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</w:p>
    <w:p w:rsidR="0056331C" w:rsidRDefault="0056331C" w:rsidP="0056331C">
      <w:pPr>
        <w:autoSpaceDE w:val="0"/>
        <w:autoSpaceDN w:val="0"/>
        <w:adjustRightInd w:val="0"/>
        <w:spacing w:line="280" w:lineRule="exact"/>
        <w:ind w:firstLine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––––––––––––––––––––</w:t>
      </w:r>
    </w:p>
    <w:p w:rsidR="0056331C" w:rsidRDefault="0056331C" w:rsidP="0056331C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30"/>
        </w:rPr>
      </w:pPr>
      <w:r w:rsidRPr="008244ED">
        <w:rPr>
          <w:rFonts w:eastAsia="Calibri"/>
          <w:sz w:val="24"/>
          <w:szCs w:val="24"/>
        </w:rPr>
        <w:t>*</w:t>
      </w:r>
      <w:r>
        <w:rPr>
          <w:rFonts w:eastAsia="Calibri"/>
          <w:sz w:val="24"/>
          <w:szCs w:val="24"/>
        </w:rPr>
        <w:t> </w:t>
      </w:r>
      <w:r w:rsidRPr="008244ED">
        <w:rPr>
          <w:rFonts w:eastAsia="Calibri"/>
          <w:sz w:val="24"/>
          <w:szCs w:val="24"/>
        </w:rPr>
        <w:t>Применяется после выделения полос радиочастот для развертывания системы подвижной электросвязи пятого поколения</w:t>
      </w:r>
      <w:r>
        <w:rPr>
          <w:rFonts w:eastAsia="Calibri"/>
          <w:sz w:val="24"/>
          <w:szCs w:val="24"/>
        </w:rPr>
        <w:t>.</w:t>
      </w:r>
    </w:p>
    <w:p w:rsidR="0056331C" w:rsidRDefault="0056331C" w:rsidP="0056331C">
      <w:pPr>
        <w:autoSpaceDE w:val="0"/>
        <w:autoSpaceDN w:val="0"/>
        <w:adjustRightInd w:val="0"/>
        <w:ind w:firstLine="0"/>
        <w:jc w:val="both"/>
        <w:rPr>
          <w:rFonts w:eastAsia="Calibri"/>
          <w:szCs w:val="30"/>
        </w:rPr>
        <w:sectPr w:rsidR="0056331C" w:rsidSect="00B815AF">
          <w:pgSz w:w="11907" w:h="16840" w:code="9"/>
          <w:pgMar w:top="851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:rsidR="00E63B09" w:rsidRDefault="00E63B09">
      <w:bookmarkStart w:id="2" w:name="_GoBack"/>
      <w:bookmarkEnd w:id="2"/>
    </w:p>
    <w:sectPr w:rsidR="00E63B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C"/>
    <w:rsid w:val="0056331C"/>
    <w:rsid w:val="00E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C5F0-66AD-4CCF-A17B-A40BED3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1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1</cp:revision>
  <dcterms:created xsi:type="dcterms:W3CDTF">2023-08-15T08:06:00Z</dcterms:created>
  <dcterms:modified xsi:type="dcterms:W3CDTF">2023-08-15T08:06:00Z</dcterms:modified>
</cp:coreProperties>
</file>