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AB" w:rsidRDefault="00E824AB" w:rsidP="00E824AB">
      <w:pPr>
        <w:widowControl w:val="0"/>
        <w:tabs>
          <w:tab w:val="left" w:pos="6663"/>
        </w:tabs>
        <w:spacing w:line="280" w:lineRule="exact"/>
        <w:ind w:firstLine="5387"/>
        <w:rPr>
          <w:bCs/>
          <w:szCs w:val="30"/>
        </w:rPr>
      </w:pPr>
      <w:r>
        <w:rPr>
          <w:bCs/>
          <w:szCs w:val="30"/>
        </w:rPr>
        <w:t>Приложение 2</w:t>
      </w:r>
    </w:p>
    <w:p w:rsidR="00E824AB" w:rsidRDefault="00E824AB" w:rsidP="00E824AB">
      <w:pPr>
        <w:widowControl w:val="0"/>
        <w:autoSpaceDE w:val="0"/>
        <w:autoSpaceDN w:val="0"/>
        <w:adjustRightInd w:val="0"/>
        <w:spacing w:line="280" w:lineRule="exact"/>
        <w:ind w:firstLine="5387"/>
        <w:rPr>
          <w:szCs w:val="30"/>
        </w:rPr>
      </w:pPr>
      <w:r>
        <w:rPr>
          <w:szCs w:val="30"/>
        </w:rPr>
        <w:t xml:space="preserve">к техническому регламенту </w:t>
      </w:r>
    </w:p>
    <w:p w:rsidR="00E824AB" w:rsidRDefault="00E824AB" w:rsidP="00E824AB">
      <w:pPr>
        <w:widowControl w:val="0"/>
        <w:autoSpaceDE w:val="0"/>
        <w:autoSpaceDN w:val="0"/>
        <w:adjustRightInd w:val="0"/>
        <w:spacing w:line="280" w:lineRule="exact"/>
        <w:ind w:firstLine="5387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E824AB" w:rsidRDefault="00E824AB" w:rsidP="00E824AB">
      <w:pPr>
        <w:widowControl w:val="0"/>
        <w:autoSpaceDE w:val="0"/>
        <w:autoSpaceDN w:val="0"/>
        <w:adjustRightInd w:val="0"/>
        <w:spacing w:line="280" w:lineRule="exact"/>
        <w:ind w:firstLine="5387"/>
        <w:rPr>
          <w:szCs w:val="30"/>
        </w:rPr>
      </w:pPr>
      <w:r>
        <w:rPr>
          <w:szCs w:val="30"/>
        </w:rPr>
        <w:t xml:space="preserve">”Средства электросвязи. </w:t>
      </w:r>
    </w:p>
    <w:p w:rsidR="00E824AB" w:rsidRDefault="00E824AB" w:rsidP="00E824AB">
      <w:pPr>
        <w:widowControl w:val="0"/>
        <w:autoSpaceDE w:val="0"/>
        <w:autoSpaceDN w:val="0"/>
        <w:adjustRightInd w:val="0"/>
        <w:spacing w:line="280" w:lineRule="exact"/>
        <w:ind w:firstLine="5387"/>
        <w:rPr>
          <w:szCs w:val="30"/>
        </w:rPr>
      </w:pPr>
      <w:r>
        <w:rPr>
          <w:szCs w:val="30"/>
        </w:rPr>
        <w:t>Безопасность“ (ТР 2018/024/ВY)</w:t>
      </w:r>
    </w:p>
    <w:p w:rsidR="00E824AB" w:rsidRDefault="00E824AB" w:rsidP="00E824AB">
      <w:pPr>
        <w:autoSpaceDE w:val="0"/>
        <w:autoSpaceDN w:val="0"/>
        <w:adjustRightInd w:val="0"/>
        <w:spacing w:line="280" w:lineRule="exact"/>
        <w:ind w:firstLine="5387"/>
        <w:rPr>
          <w:szCs w:val="30"/>
          <w:lang w:eastAsia="en-US"/>
        </w:rPr>
      </w:pPr>
      <w:r>
        <w:rPr>
          <w:szCs w:val="30"/>
          <w:lang w:eastAsia="en-US"/>
        </w:rPr>
        <w:t>(в редакции постановления</w:t>
      </w:r>
    </w:p>
    <w:p w:rsidR="00E824AB" w:rsidRDefault="00E824AB" w:rsidP="00E824AB">
      <w:pPr>
        <w:autoSpaceDE w:val="0"/>
        <w:autoSpaceDN w:val="0"/>
        <w:adjustRightInd w:val="0"/>
        <w:spacing w:line="280" w:lineRule="exact"/>
        <w:ind w:firstLine="5387"/>
        <w:rPr>
          <w:szCs w:val="30"/>
          <w:lang w:eastAsia="en-US"/>
        </w:rPr>
      </w:pPr>
      <w:r>
        <w:rPr>
          <w:szCs w:val="30"/>
          <w:lang w:eastAsia="en-US"/>
        </w:rPr>
        <w:t>Совета Министров</w:t>
      </w:r>
    </w:p>
    <w:p w:rsidR="00E824AB" w:rsidRDefault="00E824AB" w:rsidP="00E824AB">
      <w:pPr>
        <w:autoSpaceDE w:val="0"/>
        <w:autoSpaceDN w:val="0"/>
        <w:adjustRightInd w:val="0"/>
        <w:spacing w:line="280" w:lineRule="exact"/>
        <w:ind w:firstLine="5387"/>
        <w:rPr>
          <w:szCs w:val="30"/>
          <w:lang w:eastAsia="en-US"/>
        </w:rPr>
      </w:pPr>
      <w:r>
        <w:rPr>
          <w:szCs w:val="30"/>
          <w:lang w:eastAsia="en-US"/>
        </w:rPr>
        <w:t>Республики Беларусь</w:t>
      </w:r>
    </w:p>
    <w:p w:rsidR="00E824AB" w:rsidRPr="000E0153" w:rsidRDefault="00E824AB" w:rsidP="00E824AB">
      <w:pPr>
        <w:spacing w:line="280" w:lineRule="exact"/>
        <w:ind w:firstLine="5387"/>
        <w:jc w:val="both"/>
        <w:rPr>
          <w:szCs w:val="30"/>
        </w:rPr>
      </w:pPr>
      <w:r>
        <w:rPr>
          <w:szCs w:val="30"/>
        </w:rPr>
        <w:t>14.08.2023   № 532)</w:t>
      </w:r>
    </w:p>
    <w:p w:rsidR="00E824AB" w:rsidRPr="000E0153" w:rsidRDefault="00E824AB" w:rsidP="00E824AB">
      <w:pPr>
        <w:spacing w:line="280" w:lineRule="exact"/>
        <w:ind w:firstLine="0"/>
        <w:jc w:val="both"/>
        <w:rPr>
          <w:szCs w:val="30"/>
        </w:rPr>
      </w:pPr>
    </w:p>
    <w:p w:rsidR="00E824AB" w:rsidRDefault="00E824AB" w:rsidP="00E824AB">
      <w:pPr>
        <w:spacing w:line="280" w:lineRule="exact"/>
        <w:ind w:firstLine="0"/>
        <w:jc w:val="both"/>
        <w:rPr>
          <w:szCs w:val="30"/>
        </w:rPr>
      </w:pPr>
    </w:p>
    <w:p w:rsidR="00E824AB" w:rsidRPr="000E0153" w:rsidRDefault="00E824AB" w:rsidP="00E824AB">
      <w:pPr>
        <w:spacing w:line="280" w:lineRule="exact"/>
        <w:ind w:firstLine="0"/>
        <w:jc w:val="both"/>
        <w:rPr>
          <w:szCs w:val="30"/>
        </w:rPr>
      </w:pPr>
    </w:p>
    <w:p w:rsidR="00E824AB" w:rsidRPr="00B65E44" w:rsidRDefault="00E824AB" w:rsidP="00E824AB">
      <w:pPr>
        <w:widowControl w:val="0"/>
        <w:spacing w:line="280" w:lineRule="exact"/>
        <w:ind w:left="40" w:firstLine="0"/>
        <w:rPr>
          <w:bCs/>
          <w:szCs w:val="30"/>
        </w:rPr>
      </w:pPr>
      <w:r w:rsidRPr="00B65E44">
        <w:rPr>
          <w:bCs/>
          <w:szCs w:val="30"/>
        </w:rPr>
        <w:t>ПЕРЕЧЕНЬ</w:t>
      </w:r>
    </w:p>
    <w:p w:rsidR="00E824AB" w:rsidRPr="000E0153" w:rsidRDefault="00E824AB" w:rsidP="00E824AB">
      <w:pPr>
        <w:widowControl w:val="0"/>
        <w:spacing w:before="120" w:line="280" w:lineRule="exact"/>
        <w:ind w:left="40" w:right="4252" w:firstLine="0"/>
        <w:jc w:val="both"/>
        <w:rPr>
          <w:bCs/>
          <w:szCs w:val="30"/>
        </w:rPr>
      </w:pPr>
      <w:r w:rsidRPr="000E0153">
        <w:rPr>
          <w:bCs/>
          <w:szCs w:val="30"/>
        </w:rPr>
        <w:t>средств электросвязи, выпускаемых в обращение на территории Республики Беларусь и подлежащих подтверждению соответствия в форме декларирования соответствия</w:t>
      </w:r>
    </w:p>
    <w:p w:rsidR="00E824AB" w:rsidRPr="000E0153" w:rsidRDefault="00E824AB" w:rsidP="00E824AB">
      <w:pPr>
        <w:spacing w:line="280" w:lineRule="exact"/>
        <w:ind w:firstLine="0"/>
        <w:jc w:val="both"/>
        <w:rPr>
          <w:szCs w:val="30"/>
        </w:rPr>
      </w:pPr>
    </w:p>
    <w:p w:rsidR="00E824AB" w:rsidRPr="000E0153" w:rsidRDefault="00E824AB" w:rsidP="00E824AB">
      <w:pPr>
        <w:spacing w:line="280" w:lineRule="exact"/>
        <w:ind w:firstLine="0"/>
        <w:jc w:val="both"/>
        <w:rPr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 Модемы, факс-модемы для передачи данных по коммутируемым    и некоммутируемым каналам электросвязи, в том числе входящие в состав другого оборудования.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2. Аппараты телефонные всех типов, подключаемые к проводным линиям электросвязи, в том числе телефоны, работающие по IP, базовые блоки телефонных аппаратов стандарта DECT и другие технические средства, осуществляющие набор номера и передачу или прием речевых сообщений.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3. Факсимильные аппараты, факсимильные платы, в том числе входящие в состав другого оборудования.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pacing w:val="-6"/>
          <w:szCs w:val="30"/>
        </w:rPr>
        <w:t>4. Средства электросвязи, выполняющие функции систем абонентского</w:t>
      </w:r>
      <w:r>
        <w:rPr>
          <w:rFonts w:eastAsia="Calibri"/>
          <w:szCs w:val="30"/>
        </w:rPr>
        <w:t xml:space="preserve"> доступа:</w:t>
      </w:r>
    </w:p>
    <w:p w:rsidR="00E824AB" w:rsidRDefault="00E824AB" w:rsidP="00E824AB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цифрового абонентского доступа;</w:t>
      </w:r>
    </w:p>
    <w:p w:rsidR="00E824AB" w:rsidRDefault="00E824AB" w:rsidP="00E824AB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доступа Ethernet;</w:t>
      </w:r>
    </w:p>
    <w:p w:rsidR="00E824AB" w:rsidRDefault="00E824AB" w:rsidP="00E824AB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широкополосного беспроводного доступа;</w:t>
      </w:r>
    </w:p>
    <w:p w:rsidR="00E824AB" w:rsidRDefault="00E824AB" w:rsidP="00E824AB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пассивных оптических сетей;</w:t>
      </w:r>
    </w:p>
    <w:p w:rsidR="00E824AB" w:rsidRDefault="00E824AB" w:rsidP="00E824AB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DOCSIS.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5. Абонентские устройства системы подвижной электросвязи            (в том числе радиомодули, входящие в состав другого оборудования) стандартов: Global System for Mobile Communications – глобальная система подвижной связи второго поколения (GSM), Universal Mobile </w:t>
      </w:r>
      <w:r>
        <w:rPr>
          <w:rFonts w:eastAsia="Calibri"/>
          <w:spacing w:val="-8"/>
          <w:szCs w:val="30"/>
        </w:rPr>
        <w:t>Telecommunications System – универсальная мобильная телекоммуникационная</w:t>
      </w:r>
      <w:r>
        <w:rPr>
          <w:rFonts w:eastAsia="Calibri"/>
          <w:szCs w:val="30"/>
        </w:rPr>
        <w:t xml:space="preserve"> система третьего поколения (UMTS), Digital Enhanced Cordless Telecommunication – цифровая усовершенствованная беспроводная электросвязь четвертого поколения (DECT), Long-Term Evolution – долговременное развитие (LTE), в том числе Narrow Band Internet of Things </w:t>
      </w:r>
      <w:r>
        <w:rPr>
          <w:rFonts w:eastAsia="Calibri"/>
          <w:szCs w:val="30"/>
        </w:rPr>
        <w:lastRenderedPageBreak/>
        <w:t>– узкополосный ”интернет вещей“ (NB-IoT), New-Radio* – технология радиодоступа пятого поколения (NR), другие.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6. Возимые, носимые, портативные приемопередатчики                      и радиостанции аналоговые и цифровые для передачи речевых сообщений и данных, работающие в диапазоне частот от 30 до 1000 МГц, а также радиостанции диапазона 27 МГц.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7. Оборудование широкополосного беспроводного доступа (ОШБД), в том числе радиомодули, входящие в состав другого оборудования.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8. Средства радиосвязи, относящиеся к устройствам малого радиуса действия, в том числе радиомодули, входящие в состав другого оборудования, работающие в диапазоне частот от 25 МГц до 40 ГГц.</w:t>
      </w:r>
    </w:p>
    <w:p w:rsidR="00E824AB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pacing w:val="-4"/>
          <w:szCs w:val="30"/>
        </w:rPr>
        <w:t>9. Приемопередатчики стационарные, возимые, носимые, портативные</w:t>
      </w:r>
      <w:r>
        <w:rPr>
          <w:rFonts w:eastAsia="Calibri"/>
          <w:szCs w:val="30"/>
        </w:rPr>
        <w:t xml:space="preserve"> всех категорий и назначений, не указанные в пунктах 5 – 8 настоящего приложения, работающие в диапазоне частот от 25 МГц до 30 ГГц, в том числе радиомодули, входящие в состав другого оборудования.</w:t>
      </w:r>
    </w:p>
    <w:p w:rsidR="00E824AB" w:rsidRPr="000E0153" w:rsidRDefault="00E824AB" w:rsidP="00E824AB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426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E824AB" w:rsidRDefault="00E824AB" w:rsidP="00E824AB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–––––––––––––––––––</w:t>
      </w:r>
    </w:p>
    <w:p w:rsidR="00E824AB" w:rsidRPr="00FB0C6A" w:rsidRDefault="00E824AB" w:rsidP="00E824A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 w:rsidRPr="00FB0C6A">
        <w:rPr>
          <w:rFonts w:eastAsia="Calibri"/>
          <w:sz w:val="24"/>
          <w:szCs w:val="24"/>
        </w:rPr>
        <w:t>*</w:t>
      </w:r>
      <w:r>
        <w:rPr>
          <w:rFonts w:eastAsia="Calibri"/>
          <w:sz w:val="24"/>
          <w:szCs w:val="24"/>
        </w:rPr>
        <w:t> </w:t>
      </w:r>
      <w:r w:rsidRPr="00FB0C6A">
        <w:rPr>
          <w:rFonts w:eastAsia="Calibri"/>
          <w:sz w:val="24"/>
          <w:szCs w:val="24"/>
        </w:rPr>
        <w:t>Применяется после выделения полос радиочастот для развертывания системы подвижной электросвязи пятого поколения</w:t>
      </w:r>
      <w:r>
        <w:rPr>
          <w:rFonts w:eastAsia="Calibri"/>
          <w:sz w:val="24"/>
          <w:szCs w:val="24"/>
        </w:rPr>
        <w:t>.</w:t>
      </w:r>
    </w:p>
    <w:p w:rsidR="00E63B09" w:rsidRDefault="00E63B09">
      <w:bookmarkStart w:id="0" w:name="_GoBack"/>
      <w:bookmarkEnd w:id="0"/>
    </w:p>
    <w:sectPr w:rsidR="00E63B09" w:rsidSect="008244ED">
      <w:pgSz w:w="11907" w:h="16840" w:code="9"/>
      <w:pgMar w:top="851" w:right="567" w:bottom="1134" w:left="1701" w:header="567" w:footer="567" w:gutter="0"/>
      <w:pgNumType w:start="1"/>
      <w:cols w:space="72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B"/>
    <w:rsid w:val="00E63B09"/>
    <w:rsid w:val="00E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6EA5-A05F-4D9D-9365-267FB41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A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2023-08-15T08:06:00Z</dcterms:created>
  <dcterms:modified xsi:type="dcterms:W3CDTF">2023-08-15T08:07:00Z</dcterms:modified>
</cp:coreProperties>
</file>